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5000" w:type="pct"/>
        <w:tblInd w:w="0" w:type="dxa"/>
        <w:tblLook w:val="04A0" w:firstRow="1" w:lastRow="0" w:firstColumn="1" w:lastColumn="0" w:noHBand="0" w:noVBand="1"/>
      </w:tblPr>
      <w:tblGrid>
        <w:gridCol w:w="77"/>
        <w:gridCol w:w="2924"/>
        <w:gridCol w:w="697"/>
        <w:gridCol w:w="333"/>
        <w:gridCol w:w="818"/>
        <w:gridCol w:w="197"/>
        <w:gridCol w:w="818"/>
        <w:gridCol w:w="818"/>
        <w:gridCol w:w="818"/>
        <w:gridCol w:w="3273"/>
      </w:tblGrid>
      <w:tr w:rsidR="00EF5D0C">
        <w:trPr>
          <w:cantSplit/>
          <w:trHeight w:val="117"/>
        </w:trPr>
        <w:tc>
          <w:tcPr>
            <w:tcW w:w="75" w:type="dxa"/>
            <w:shd w:val="clear" w:color="auto" w:fill="auto"/>
            <w:vAlign w:val="bottom"/>
          </w:tcPr>
          <w:p w:rsidR="00EF5D0C" w:rsidRDefault="00EF5D0C"/>
        </w:tc>
        <w:tc>
          <w:tcPr>
            <w:tcW w:w="2895" w:type="dxa"/>
            <w:shd w:val="clear" w:color="auto" w:fill="auto"/>
            <w:vAlign w:val="bottom"/>
          </w:tcPr>
          <w:p w:rsidR="00EF5D0C" w:rsidRDefault="00EF5D0C"/>
        </w:tc>
        <w:tc>
          <w:tcPr>
            <w:tcW w:w="690" w:type="dxa"/>
            <w:shd w:val="clear" w:color="auto" w:fill="auto"/>
            <w:vAlign w:val="bottom"/>
          </w:tcPr>
          <w:p w:rsidR="00EF5D0C" w:rsidRDefault="00EF5D0C"/>
        </w:tc>
        <w:tc>
          <w:tcPr>
            <w:tcW w:w="330" w:type="dxa"/>
            <w:shd w:val="clear" w:color="auto" w:fill="auto"/>
            <w:vAlign w:val="bottom"/>
          </w:tcPr>
          <w:p w:rsidR="00EF5D0C" w:rsidRDefault="00EF5D0C"/>
        </w:tc>
        <w:tc>
          <w:tcPr>
            <w:tcW w:w="810" w:type="dxa"/>
            <w:shd w:val="clear" w:color="auto" w:fill="auto"/>
            <w:vAlign w:val="bottom"/>
          </w:tcPr>
          <w:p w:rsidR="00EF5D0C" w:rsidRDefault="00EF5D0C"/>
        </w:tc>
        <w:tc>
          <w:tcPr>
            <w:tcW w:w="195" w:type="dxa"/>
            <w:shd w:val="clear" w:color="auto" w:fill="auto"/>
            <w:vAlign w:val="bottom"/>
          </w:tcPr>
          <w:p w:rsidR="00EF5D0C" w:rsidRDefault="00EF5D0C"/>
        </w:tc>
        <w:tc>
          <w:tcPr>
            <w:tcW w:w="810" w:type="dxa"/>
            <w:shd w:val="clear" w:color="auto" w:fill="auto"/>
            <w:vAlign w:val="bottom"/>
          </w:tcPr>
          <w:p w:rsidR="00EF5D0C" w:rsidRDefault="00EF5D0C"/>
        </w:tc>
        <w:tc>
          <w:tcPr>
            <w:tcW w:w="810" w:type="dxa"/>
            <w:shd w:val="clear" w:color="auto" w:fill="auto"/>
            <w:vAlign w:val="bottom"/>
          </w:tcPr>
          <w:p w:rsidR="00EF5D0C" w:rsidRDefault="00EF5D0C"/>
        </w:tc>
        <w:tc>
          <w:tcPr>
            <w:tcW w:w="810" w:type="dxa"/>
            <w:shd w:val="clear" w:color="auto" w:fill="auto"/>
            <w:vAlign w:val="bottom"/>
          </w:tcPr>
          <w:p w:rsidR="00EF5D0C" w:rsidRDefault="00EF5D0C"/>
        </w:tc>
        <w:tc>
          <w:tcPr>
            <w:tcW w:w="3240" w:type="dxa"/>
            <w:shd w:val="clear" w:color="auto" w:fill="auto"/>
            <w:vAlign w:val="bottom"/>
          </w:tcPr>
          <w:p w:rsidR="00EF5D0C" w:rsidRDefault="00EF5D0C"/>
        </w:tc>
      </w:tr>
      <w:tr w:rsidR="00EF5D0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EF5D0C" w:rsidRDefault="00EF5D0C"/>
        </w:tc>
        <w:tc>
          <w:tcPr>
            <w:tcW w:w="2895" w:type="dxa"/>
            <w:shd w:val="clear" w:color="auto" w:fill="auto"/>
            <w:vAlign w:val="bottom"/>
          </w:tcPr>
          <w:p w:rsidR="00EF5D0C" w:rsidRDefault="00EF5D0C"/>
        </w:tc>
        <w:tc>
          <w:tcPr>
            <w:tcW w:w="7695" w:type="dxa"/>
            <w:gridSpan w:val="8"/>
            <w:shd w:val="clear" w:color="auto" w:fill="auto"/>
            <w:vAlign w:val="bottom"/>
          </w:tcPr>
          <w:p w:rsidR="00EF5D0C" w:rsidRPr="00902B0E" w:rsidRDefault="00902B0E">
            <w:pPr>
              <w:jc w:val="right"/>
              <w:rPr>
                <w:sz w:val="18"/>
                <w:szCs w:val="18"/>
              </w:rPr>
            </w:pPr>
            <w:r w:rsidRPr="00902B0E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08458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50462">
              <w:rPr>
                <w:rFonts w:ascii="Times New Roman" w:hAnsi="Times New Roman"/>
                <w:sz w:val="18"/>
                <w:szCs w:val="18"/>
              </w:rPr>
              <w:t>5</w:t>
            </w:r>
            <w:bookmarkStart w:id="0" w:name="_GoBack"/>
            <w:bookmarkEnd w:id="0"/>
          </w:p>
          <w:p w:rsidR="00EF5D0C" w:rsidRPr="00902B0E" w:rsidRDefault="00902B0E">
            <w:pPr>
              <w:jc w:val="right"/>
              <w:rPr>
                <w:sz w:val="18"/>
                <w:szCs w:val="18"/>
              </w:rPr>
            </w:pPr>
            <w:r w:rsidRPr="00902B0E">
              <w:rPr>
                <w:rFonts w:ascii="Times New Roman" w:hAnsi="Times New Roman"/>
                <w:sz w:val="18"/>
                <w:szCs w:val="18"/>
              </w:rPr>
              <w:t>к Решению Совета Кондопожского городского поселения</w:t>
            </w:r>
          </w:p>
          <w:p w:rsidR="00902B0E" w:rsidRPr="00902B0E" w:rsidRDefault="00902B0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02B0E">
              <w:rPr>
                <w:rFonts w:ascii="Times New Roman" w:hAnsi="Times New Roman"/>
                <w:sz w:val="18"/>
                <w:szCs w:val="18"/>
              </w:rPr>
              <w:t>«О бюджете Кондопожского городского поселения</w:t>
            </w:r>
          </w:p>
          <w:p w:rsidR="00EF5D0C" w:rsidRPr="00902B0E" w:rsidRDefault="00902B0E">
            <w:pPr>
              <w:jc w:val="right"/>
              <w:rPr>
                <w:sz w:val="18"/>
                <w:szCs w:val="18"/>
              </w:rPr>
            </w:pPr>
            <w:r w:rsidRPr="00902B0E">
              <w:rPr>
                <w:rFonts w:ascii="Times New Roman" w:hAnsi="Times New Roman"/>
                <w:sz w:val="18"/>
                <w:szCs w:val="18"/>
              </w:rPr>
              <w:t xml:space="preserve"> на 2026 год и  на плановый период 2027 и 2028 годов»</w:t>
            </w:r>
          </w:p>
          <w:p w:rsidR="00EF5D0C" w:rsidRDefault="00902B0E">
            <w:pPr>
              <w:jc w:val="right"/>
              <w:rPr>
                <w:rFonts w:ascii="Times New Roman" w:hAnsi="Times New Roman"/>
                <w:sz w:val="15"/>
                <w:szCs w:val="15"/>
              </w:rPr>
            </w:pPr>
            <w:r w:rsidRPr="00902B0E">
              <w:rPr>
                <w:rFonts w:ascii="Times New Roman" w:hAnsi="Times New Roman"/>
                <w:sz w:val="18"/>
                <w:szCs w:val="18"/>
              </w:rPr>
              <w:t>от 11 декабря 2025 г</w:t>
            </w:r>
            <w:r>
              <w:rPr>
                <w:rFonts w:ascii="Times New Roman" w:hAnsi="Times New Roman"/>
                <w:sz w:val="15"/>
                <w:szCs w:val="15"/>
              </w:rPr>
              <w:t>.</w:t>
            </w:r>
            <w:r w:rsidR="0008458F">
              <w:rPr>
                <w:rFonts w:ascii="Times New Roman" w:hAnsi="Times New Roman"/>
                <w:sz w:val="15"/>
                <w:szCs w:val="15"/>
              </w:rPr>
              <w:t xml:space="preserve"> № 1</w:t>
            </w:r>
          </w:p>
          <w:p w:rsidR="0008458F" w:rsidRDefault="0008458F">
            <w:pPr>
              <w:jc w:val="right"/>
            </w:pPr>
          </w:p>
        </w:tc>
      </w:tr>
      <w:tr w:rsidR="00EF5D0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EF5D0C" w:rsidRDefault="00EF5D0C"/>
        </w:tc>
        <w:tc>
          <w:tcPr>
            <w:tcW w:w="2895" w:type="dxa"/>
            <w:shd w:val="clear" w:color="auto" w:fill="auto"/>
            <w:vAlign w:val="bottom"/>
          </w:tcPr>
          <w:p w:rsidR="00EF5D0C" w:rsidRDefault="00EF5D0C">
            <w:pPr>
              <w:jc w:val="center"/>
            </w:pPr>
          </w:p>
        </w:tc>
        <w:tc>
          <w:tcPr>
            <w:tcW w:w="690" w:type="dxa"/>
            <w:shd w:val="clear" w:color="auto" w:fill="auto"/>
            <w:vAlign w:val="bottom"/>
          </w:tcPr>
          <w:p w:rsidR="00EF5D0C" w:rsidRDefault="00EF5D0C"/>
        </w:tc>
        <w:tc>
          <w:tcPr>
            <w:tcW w:w="330" w:type="dxa"/>
            <w:shd w:val="clear" w:color="auto" w:fill="auto"/>
            <w:vAlign w:val="bottom"/>
          </w:tcPr>
          <w:p w:rsidR="00EF5D0C" w:rsidRDefault="00EF5D0C"/>
        </w:tc>
        <w:tc>
          <w:tcPr>
            <w:tcW w:w="810" w:type="dxa"/>
            <w:shd w:val="clear" w:color="auto" w:fill="auto"/>
            <w:vAlign w:val="bottom"/>
          </w:tcPr>
          <w:p w:rsidR="00EF5D0C" w:rsidRDefault="00EF5D0C"/>
        </w:tc>
        <w:tc>
          <w:tcPr>
            <w:tcW w:w="195" w:type="dxa"/>
            <w:shd w:val="clear" w:color="auto" w:fill="auto"/>
            <w:vAlign w:val="bottom"/>
          </w:tcPr>
          <w:p w:rsidR="00EF5D0C" w:rsidRDefault="00EF5D0C"/>
        </w:tc>
        <w:tc>
          <w:tcPr>
            <w:tcW w:w="810" w:type="dxa"/>
            <w:shd w:val="clear" w:color="auto" w:fill="auto"/>
            <w:vAlign w:val="bottom"/>
          </w:tcPr>
          <w:p w:rsidR="00EF5D0C" w:rsidRDefault="00EF5D0C"/>
        </w:tc>
        <w:tc>
          <w:tcPr>
            <w:tcW w:w="810" w:type="dxa"/>
            <w:shd w:val="clear" w:color="auto" w:fill="auto"/>
            <w:vAlign w:val="bottom"/>
          </w:tcPr>
          <w:p w:rsidR="00EF5D0C" w:rsidRDefault="00EF5D0C"/>
        </w:tc>
        <w:tc>
          <w:tcPr>
            <w:tcW w:w="810" w:type="dxa"/>
            <w:shd w:val="clear" w:color="auto" w:fill="auto"/>
            <w:vAlign w:val="bottom"/>
          </w:tcPr>
          <w:p w:rsidR="00EF5D0C" w:rsidRDefault="00EF5D0C"/>
        </w:tc>
        <w:tc>
          <w:tcPr>
            <w:tcW w:w="3240" w:type="dxa"/>
            <w:shd w:val="clear" w:color="auto" w:fill="auto"/>
            <w:vAlign w:val="bottom"/>
          </w:tcPr>
          <w:p w:rsidR="00EF5D0C" w:rsidRDefault="00EF5D0C"/>
        </w:tc>
      </w:tr>
      <w:tr w:rsidR="00EF5D0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EF5D0C" w:rsidRDefault="00EF5D0C"/>
        </w:tc>
        <w:tc>
          <w:tcPr>
            <w:tcW w:w="10590" w:type="dxa"/>
            <w:gridSpan w:val="9"/>
            <w:vMerge w:val="restart"/>
            <w:shd w:val="clear" w:color="auto" w:fill="auto"/>
            <w:vAlign w:val="bottom"/>
          </w:tcPr>
          <w:p w:rsidR="00EF5D0C" w:rsidRDefault="00902B0E">
            <w:pPr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Распределение бюджетных ассигнований на 2027 и 2028 годы по разделам, подразделам,</w:t>
            </w:r>
          </w:p>
          <w:p w:rsidR="00EF5D0C" w:rsidRDefault="00902B0E">
            <w:pPr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целевым статьям, группам и подгруппам </w:t>
            </w:r>
            <w:proofErr w:type="gramStart"/>
            <w:r>
              <w:rPr>
                <w:rFonts w:ascii="Times New Roman" w:hAnsi="Times New Roman"/>
                <w:b/>
                <w:sz w:val="19"/>
                <w:szCs w:val="19"/>
              </w:rPr>
              <w:t>видов расходов классификации расходов бюджетов</w:t>
            </w:r>
            <w:proofErr w:type="gramEnd"/>
          </w:p>
          <w:p w:rsidR="00EF5D0C" w:rsidRDefault="00902B0E">
            <w:pPr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бюджета Кондопожского городского поселения</w:t>
            </w:r>
          </w:p>
        </w:tc>
      </w:tr>
      <w:tr w:rsidR="00EF5D0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EF5D0C" w:rsidRDefault="00EF5D0C"/>
        </w:tc>
        <w:tc>
          <w:tcPr>
            <w:tcW w:w="10590" w:type="dxa"/>
            <w:gridSpan w:val="9"/>
            <w:vMerge/>
            <w:shd w:val="clear" w:color="auto" w:fill="auto"/>
            <w:vAlign w:val="bottom"/>
          </w:tcPr>
          <w:p w:rsidR="00EF5D0C" w:rsidRDefault="00EF5D0C"/>
        </w:tc>
      </w:tr>
      <w:tr w:rsidR="00EF5D0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EF5D0C" w:rsidRDefault="00EF5D0C"/>
        </w:tc>
        <w:tc>
          <w:tcPr>
            <w:tcW w:w="2895" w:type="dxa"/>
            <w:shd w:val="clear" w:color="auto" w:fill="auto"/>
            <w:vAlign w:val="bottom"/>
          </w:tcPr>
          <w:p w:rsidR="00EF5D0C" w:rsidRDefault="00EF5D0C"/>
        </w:tc>
        <w:tc>
          <w:tcPr>
            <w:tcW w:w="690" w:type="dxa"/>
            <w:shd w:val="clear" w:color="auto" w:fill="auto"/>
            <w:vAlign w:val="bottom"/>
          </w:tcPr>
          <w:p w:rsidR="00EF5D0C" w:rsidRDefault="00EF5D0C"/>
        </w:tc>
        <w:tc>
          <w:tcPr>
            <w:tcW w:w="330" w:type="dxa"/>
            <w:shd w:val="clear" w:color="auto" w:fill="auto"/>
            <w:vAlign w:val="bottom"/>
          </w:tcPr>
          <w:p w:rsidR="00EF5D0C" w:rsidRDefault="00EF5D0C"/>
        </w:tc>
        <w:tc>
          <w:tcPr>
            <w:tcW w:w="810" w:type="dxa"/>
            <w:shd w:val="clear" w:color="auto" w:fill="auto"/>
            <w:vAlign w:val="bottom"/>
          </w:tcPr>
          <w:p w:rsidR="00EF5D0C" w:rsidRDefault="00EF5D0C"/>
        </w:tc>
        <w:tc>
          <w:tcPr>
            <w:tcW w:w="195" w:type="dxa"/>
            <w:shd w:val="clear" w:color="auto" w:fill="auto"/>
            <w:vAlign w:val="bottom"/>
          </w:tcPr>
          <w:p w:rsidR="00EF5D0C" w:rsidRDefault="00EF5D0C"/>
        </w:tc>
        <w:tc>
          <w:tcPr>
            <w:tcW w:w="810" w:type="dxa"/>
            <w:shd w:val="clear" w:color="auto" w:fill="auto"/>
            <w:vAlign w:val="bottom"/>
          </w:tcPr>
          <w:p w:rsidR="00EF5D0C" w:rsidRDefault="00EF5D0C"/>
        </w:tc>
        <w:tc>
          <w:tcPr>
            <w:tcW w:w="810" w:type="dxa"/>
            <w:shd w:val="clear" w:color="auto" w:fill="auto"/>
            <w:vAlign w:val="bottom"/>
          </w:tcPr>
          <w:p w:rsidR="00EF5D0C" w:rsidRDefault="00EF5D0C"/>
        </w:tc>
        <w:tc>
          <w:tcPr>
            <w:tcW w:w="810" w:type="dxa"/>
            <w:shd w:val="clear" w:color="auto" w:fill="auto"/>
            <w:vAlign w:val="bottom"/>
          </w:tcPr>
          <w:p w:rsidR="00EF5D0C" w:rsidRDefault="00EF5D0C"/>
        </w:tc>
        <w:tc>
          <w:tcPr>
            <w:tcW w:w="3240" w:type="dxa"/>
            <w:shd w:val="clear" w:color="auto" w:fill="auto"/>
            <w:vAlign w:val="bottom"/>
          </w:tcPr>
          <w:p w:rsidR="00EF5D0C" w:rsidRDefault="00EF5D0C"/>
        </w:tc>
      </w:tr>
      <w:tr w:rsidR="00EF5D0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EF5D0C" w:rsidRDefault="00EF5D0C"/>
        </w:tc>
        <w:tc>
          <w:tcPr>
            <w:tcW w:w="2895" w:type="dxa"/>
            <w:shd w:val="clear" w:color="auto" w:fill="auto"/>
            <w:vAlign w:val="bottom"/>
          </w:tcPr>
          <w:p w:rsidR="00EF5D0C" w:rsidRDefault="00EF5D0C"/>
        </w:tc>
        <w:tc>
          <w:tcPr>
            <w:tcW w:w="690" w:type="dxa"/>
            <w:shd w:val="clear" w:color="auto" w:fill="auto"/>
            <w:vAlign w:val="bottom"/>
          </w:tcPr>
          <w:p w:rsidR="00EF5D0C" w:rsidRDefault="00EF5D0C"/>
        </w:tc>
        <w:tc>
          <w:tcPr>
            <w:tcW w:w="330" w:type="dxa"/>
            <w:shd w:val="clear" w:color="auto" w:fill="auto"/>
            <w:vAlign w:val="bottom"/>
          </w:tcPr>
          <w:p w:rsidR="00EF5D0C" w:rsidRDefault="00EF5D0C"/>
        </w:tc>
        <w:tc>
          <w:tcPr>
            <w:tcW w:w="810" w:type="dxa"/>
            <w:shd w:val="clear" w:color="auto" w:fill="auto"/>
            <w:vAlign w:val="bottom"/>
          </w:tcPr>
          <w:p w:rsidR="00EF5D0C" w:rsidRDefault="00EF5D0C"/>
        </w:tc>
        <w:tc>
          <w:tcPr>
            <w:tcW w:w="195" w:type="dxa"/>
            <w:shd w:val="clear" w:color="auto" w:fill="auto"/>
            <w:vAlign w:val="bottom"/>
          </w:tcPr>
          <w:p w:rsidR="00EF5D0C" w:rsidRDefault="00EF5D0C"/>
        </w:tc>
        <w:tc>
          <w:tcPr>
            <w:tcW w:w="810" w:type="dxa"/>
            <w:shd w:val="clear" w:color="auto" w:fill="auto"/>
            <w:vAlign w:val="bottom"/>
          </w:tcPr>
          <w:p w:rsidR="00EF5D0C" w:rsidRDefault="00EF5D0C"/>
        </w:tc>
        <w:tc>
          <w:tcPr>
            <w:tcW w:w="810" w:type="dxa"/>
            <w:shd w:val="clear" w:color="auto" w:fill="auto"/>
            <w:vAlign w:val="bottom"/>
          </w:tcPr>
          <w:p w:rsidR="00EF5D0C" w:rsidRDefault="00EF5D0C"/>
        </w:tc>
        <w:tc>
          <w:tcPr>
            <w:tcW w:w="810" w:type="dxa"/>
            <w:shd w:val="clear" w:color="auto" w:fill="auto"/>
            <w:vAlign w:val="bottom"/>
          </w:tcPr>
          <w:p w:rsidR="00EF5D0C" w:rsidRDefault="00EF5D0C"/>
        </w:tc>
        <w:tc>
          <w:tcPr>
            <w:tcW w:w="3240" w:type="dxa"/>
            <w:shd w:val="clear" w:color="auto" w:fill="auto"/>
            <w:vAlign w:val="bottom"/>
          </w:tcPr>
          <w:p w:rsidR="00EF5D0C" w:rsidRDefault="00EF5D0C"/>
        </w:tc>
      </w:tr>
    </w:tbl>
    <w:tbl>
      <w:tblPr>
        <w:tblStyle w:val="TableStyle1"/>
        <w:tblW w:w="5000" w:type="pct"/>
        <w:tblInd w:w="0" w:type="dxa"/>
        <w:tblLook w:val="04A0" w:firstRow="1" w:lastRow="0" w:firstColumn="1" w:lastColumn="0" w:noHBand="0" w:noVBand="1"/>
      </w:tblPr>
      <w:tblGrid>
        <w:gridCol w:w="60"/>
        <w:gridCol w:w="4861"/>
        <w:gridCol w:w="453"/>
        <w:gridCol w:w="453"/>
        <w:gridCol w:w="1268"/>
        <w:gridCol w:w="710"/>
        <w:gridCol w:w="1495"/>
        <w:gridCol w:w="1479"/>
      </w:tblGrid>
      <w:tr w:rsidR="00EF5D0C">
        <w:trPr>
          <w:cantSplit/>
          <w:tblHeader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Наименование</w:t>
            </w:r>
          </w:p>
        </w:tc>
        <w:tc>
          <w:tcPr>
            <w:tcW w:w="286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Код</w:t>
            </w:r>
          </w:p>
        </w:tc>
        <w:tc>
          <w:tcPr>
            <w:tcW w:w="2955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F5D0C" w:rsidRDefault="00902B0E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Бюджетные ассигнования</w:t>
            </w:r>
          </w:p>
          <w:p w:rsidR="00EF5D0C" w:rsidRDefault="00902B0E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15"/>
                <w:szCs w:val="15"/>
              </w:rPr>
              <w:t>руб</w:t>
            </w:r>
            <w:proofErr w:type="spellEnd"/>
            <w:r>
              <w:rPr>
                <w:rFonts w:ascii="Times New Roman" w:hAnsi="Times New Roman"/>
                <w:b/>
                <w:sz w:val="15"/>
                <w:szCs w:val="15"/>
              </w:rPr>
              <w:t>)</w:t>
            </w:r>
          </w:p>
        </w:tc>
      </w:tr>
      <w:tr w:rsidR="00EF5D0C">
        <w:trPr>
          <w:cantSplit/>
          <w:trHeight w:val="149"/>
        </w:trPr>
        <w:tc>
          <w:tcPr>
            <w:tcW w:w="60" w:type="dxa"/>
            <w:vMerge w:val="restart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EF5D0C"/>
        </w:tc>
        <w:tc>
          <w:tcPr>
            <w:tcW w:w="450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EF5D0C" w:rsidRDefault="00902B0E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Раздела</w:t>
            </w:r>
          </w:p>
        </w:tc>
        <w:tc>
          <w:tcPr>
            <w:tcW w:w="450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EF5D0C" w:rsidRDefault="00902B0E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Подраздела</w:t>
            </w:r>
          </w:p>
        </w:tc>
        <w:tc>
          <w:tcPr>
            <w:tcW w:w="126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EF5D0C" w:rsidRDefault="00902B0E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Целевой статьи</w:t>
            </w:r>
          </w:p>
        </w:tc>
        <w:tc>
          <w:tcPr>
            <w:tcW w:w="705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EF5D0C" w:rsidRDefault="00902B0E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Вида расходов</w:t>
            </w:r>
          </w:p>
          <w:p w:rsidR="00EF5D0C" w:rsidRDefault="00902B0E">
            <w:pPr>
              <w:jc w:val="center"/>
            </w:pPr>
            <w:proofErr w:type="gramStart"/>
            <w:r>
              <w:rPr>
                <w:rFonts w:ascii="Times New Roman" w:hAnsi="Times New Roman"/>
                <w:b/>
                <w:sz w:val="15"/>
                <w:szCs w:val="15"/>
              </w:rPr>
              <w:t>(группа,</w:t>
            </w:r>
            <w:proofErr w:type="gramEnd"/>
          </w:p>
          <w:p w:rsidR="00EF5D0C" w:rsidRDefault="00902B0E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подгруппа)</w:t>
            </w:r>
          </w:p>
        </w:tc>
        <w:tc>
          <w:tcPr>
            <w:tcW w:w="2955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EF5D0C"/>
        </w:tc>
      </w:tr>
      <w:tr w:rsidR="00EF5D0C" w:rsidTr="00902B0E">
        <w:trPr>
          <w:cantSplit/>
          <w:trHeight w:val="1449"/>
        </w:trPr>
        <w:tc>
          <w:tcPr>
            <w:tcW w:w="60" w:type="dxa"/>
            <w:vMerge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EF5D0C"/>
        </w:tc>
        <w:tc>
          <w:tcPr>
            <w:tcW w:w="450" w:type="dxa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EF5D0C"/>
        </w:tc>
        <w:tc>
          <w:tcPr>
            <w:tcW w:w="450" w:type="dxa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EF5D0C"/>
        </w:tc>
        <w:tc>
          <w:tcPr>
            <w:tcW w:w="126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EF5D0C"/>
        </w:tc>
        <w:tc>
          <w:tcPr>
            <w:tcW w:w="705" w:type="dxa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EF5D0C"/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F5D0C" w:rsidRDefault="00902B0E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на 2027 год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F5D0C" w:rsidRDefault="00902B0E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на 2028 год</w:t>
            </w:r>
          </w:p>
        </w:tc>
      </w:tr>
    </w:tbl>
    <w:tbl>
      <w:tblPr>
        <w:tblStyle w:val="TableStyle2"/>
        <w:tblW w:w="5000" w:type="pct"/>
        <w:tblInd w:w="0" w:type="dxa"/>
        <w:tblLook w:val="04A0" w:firstRow="1" w:lastRow="0" w:firstColumn="1" w:lastColumn="0" w:noHBand="0" w:noVBand="1"/>
      </w:tblPr>
      <w:tblGrid>
        <w:gridCol w:w="60"/>
        <w:gridCol w:w="4861"/>
        <w:gridCol w:w="453"/>
        <w:gridCol w:w="453"/>
        <w:gridCol w:w="1268"/>
        <w:gridCol w:w="710"/>
        <w:gridCol w:w="1495"/>
        <w:gridCol w:w="1479"/>
      </w:tblGrid>
      <w:tr w:rsidR="00EF5D0C">
        <w:trPr>
          <w:cantSplit/>
          <w:tblHeader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jc w:val="center"/>
            </w:pPr>
            <w:r>
              <w:rPr>
                <w:rFonts w:ascii="Times New Roman" w:hAnsi="Times New Roman"/>
                <w:sz w:val="15"/>
                <w:szCs w:val="15"/>
              </w:rPr>
              <w:t>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5"/>
                <w:szCs w:val="15"/>
              </w:rPr>
              <w:t>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5"/>
                <w:szCs w:val="15"/>
              </w:rPr>
              <w:t>5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jc w:val="center"/>
            </w:pPr>
            <w:r>
              <w:rPr>
                <w:rFonts w:ascii="Times New Roman" w:hAnsi="Times New Roman"/>
                <w:sz w:val="15"/>
                <w:szCs w:val="15"/>
              </w:rPr>
              <w:t>6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5"/>
                <w:szCs w:val="15"/>
              </w:rPr>
              <w:t>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5"/>
                <w:szCs w:val="15"/>
              </w:rPr>
              <w:t>8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2 318 594,59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2 318 870,15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2 000,00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2 000,00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2 000,00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2 000,00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Осуществление государственных полномочий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5500073750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2 000,00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2 000,00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5500073750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2 000,00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2 000,00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5500073750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2 000,00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2 000,00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Резервные фонды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500 000,00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500 000,00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500 000,00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500 000,00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Резервный фонд Администрации Кондопожского муниципального района на финансовое обеспечение расходов, связанных с введением режима повышенной готовности и/или при ликвидации последствий стихийных бедствий и других чрезвычайных ситуаций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5500040330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500 000,00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500 000,00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бюджетные ассигнования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5500040330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500 000,00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500 000,00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Резервные средства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5500040330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870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500 000,00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500 000,00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1 816 594,59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1 816 870,15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1 816 594,59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1 816 870,15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выполнение функций, связанных с реализацией других общегосударственных вопросов на территории Кондопожского городского поселения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5500040111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1 816 594,59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1 816 870,15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5500040111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1 783 729,59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1 784 005,15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5500040111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1 783 729,59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1 784 005,15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бюджетные ассигнования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5500040111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32 865,00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32 865,00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Уплата налогов, сборов и иных платежей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5500040111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850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32 865,00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32 865,00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4 616 767,36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885 250,00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Гражданская оборона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803 770,00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803 770,00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803 770,00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803 770,00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обеспечение функционирования муниципальной системы оповещения населени</w:t>
            </w:r>
            <w:proofErr w:type="gramStart"/>
            <w:r>
              <w:rPr>
                <w:rFonts w:ascii="Times New Roman" w:hAnsi="Times New Roman"/>
                <w:sz w:val="17"/>
                <w:szCs w:val="17"/>
              </w:rPr>
              <w:t>я(</w:t>
            </w:r>
            <w:proofErr w:type="gramEnd"/>
            <w:r>
              <w:rPr>
                <w:rFonts w:ascii="Times New Roman" w:hAnsi="Times New Roman"/>
                <w:sz w:val="17"/>
                <w:szCs w:val="17"/>
              </w:rPr>
              <w:t>МСОН) жителей города Кондопога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5500040312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803 770,00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803 770,00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5500040312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803 770,00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803 770,00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5500040312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803 770,00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803 770,00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Другие вопросы в области национальной безопасности и правоохранительной деятельности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3 812 997,36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81 480,00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Муниципальная программа «Развитие системы защиты населения и территории Кондопожского городского поселения от последствий чрезвычайных ситуаций и профилактика терроризма»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85 845,36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81 480,00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Комплекс процессных мероприятий «Пожарная безопасность»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03К0100000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4 365,36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Реализация основных мероприятий по пожарной безопасности в границах Кондопожского городского поселения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03К0140311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4 365,36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03К0140311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4 365,36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03К0140311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4 365,36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Комплекс процессных мероприятий «Профилактика терроризма»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03К0200000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81 480,00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81 480,00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участие в профилактике терроризма, а также в минимизации и (или) ликвидации последствий проявлений терроризма в границах Кондопожского городского поселения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03К0240320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81 480,00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81 480,00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03К0240320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81 480,00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81 480,00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03К0240320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81 480,00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81 480,00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3 727 152,00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разработку проектно-сметной документации для обеспечения первичных мер пожарной безопасности в границах Кондопожского городского поселения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5500040314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3 727 152,00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5500040314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3 727 152,00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5500040314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3 727 152,00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НАЦИОНАЛЬНАЯ ЭКОНОМИКА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76 625 887,83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55 723 090,22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Транспорт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5 661 252,35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5 887 702,44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5 661 252,35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5 887 702,44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создание условий для предоставления транспортных услуг населению на территории Кондопожского городского поселения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5500040410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5 661 252,35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5 887 702,44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5500040410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5 661 252,35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5 887 702,44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5500040410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5 661 252,35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5 887 702,44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70 964 635,48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49 835 387,78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70 964 635,48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49 835 387,78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Ремонт и содержание автомобильных дорог общего пользования в границах муниципального образования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550009Д010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70 964 635,48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49 835 387,78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550009Д010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70 964 635,48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49 835 387,78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550009Д010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70 964 635,48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49 835 387,78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50 713 173,58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86 574 956,25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Жилищное хозяйство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14 398 664,06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54 088 131,74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14 398 664,06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54 088 131,74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Мероприятия в области жилищного хозяйства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5500040510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721 447,20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721 447,20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721 447,20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ремонт и содержание муниципального жилищного фонда Кондопожского городского поселения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5500040511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1 679 811,35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1 733 466,03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5500040511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1 679 811,35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1 733 466,03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5500040511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1 679 811,35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1 733 466,03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уплату взносов на капитальный ремонт общего имущества в многоквартирных домах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5500040518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6 686 121,31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6 953 566,16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5500040518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6 686 121,31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6 953 566,16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5500040518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6 686 121,31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6 953 566,16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Приобретение благоустроенного жилого помещения в целях исполнения судебного решения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5500090510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5 311 284,20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5500090510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5 311 284,20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Бюджетные инвестиции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5500090510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410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5 311 284,20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Приобретение жилых помещений, находящихся на территории Кондопожского городского поселения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5500090511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45 401 099,55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5500090511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45 401 099,55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Бюджетные инвестиции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5500090511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410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45 401 099,55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Коммунальное хозяйство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60 295,63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62 707,46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60 295,63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62 707,46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Мероприятия в области коммунального хозяйства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5500040512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60 295,63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62 707,46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5500040512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60 295,63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62 707,46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5500040512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60 295,63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62 707,46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Благоустройство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36 254 213,89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32 424 117,05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36 254 213,89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32 424 117,05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Уличное освещение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5500040514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5 513 838,21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5 752 985,74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5500040514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5 513 838,21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5 752 985,74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5500040514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5 513 838,21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5 752 985,74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Озеленение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5500040515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1 655 531,80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1 728 531,80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5500040515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1 655 531,80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1 728 531,80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5500040515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1 655 531,80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1 728 531,80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Организация и содержание мест захоронения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5500040516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5 106 746,48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5 186 508,74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5500040516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5 106 746,48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5 186 508,74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5500040516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5 106 746,48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5 186 508,74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Прочие мероприятия по благоустройству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5500040517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15 876 026,66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11 563 176,21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5500040517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15 876 026,66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11 563 176,21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5500040517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15 876 026,66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11 563 176,21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Региональный проект «Формирование комфортной городской среды» в рамках реализации национального проекта «Инфраструктура для жизни» (Реализация программ формирования современной городской среды)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55НИ400000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8 102 070,74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8 192 914,56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55НИ455550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8 102 070,74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8 192 914,56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бюджетные ассигнования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55НИ455550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8 102 070,74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8 192 914,56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Резервные средства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55НИ455550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870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8 102 070,74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8 192 914,56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ОБРАЗОВАНИЕ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254 518,21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254 518,21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Молодежная политика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254 518,21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254 518,21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254 518,21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254 518,21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обеспечение условий осуществления деятельности по работе с детьми и молодежью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5500040710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254 518,21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254 518,21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5500040710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254 518,21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254 518,21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5500040710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254 518,21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254 518,21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КУЛЬТУРА, КИНЕМАТОГРАФИЯ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25 712 085,31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18 365 035,41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Культура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25 712 085,31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18 365 035,41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 xml:space="preserve">Муниципальная программа «Культура в 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17"/>
                <w:szCs w:val="17"/>
              </w:rPr>
              <w:t xml:space="preserve"> городском поселении»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25 712 085,31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18 365 035,41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 xml:space="preserve">Комплекс процессных мероприятий «Создание условий для обеспечения населения услугами по организации досуга и услугами организации культуры в 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17"/>
                <w:szCs w:val="17"/>
              </w:rPr>
              <w:t xml:space="preserve"> городском поселении»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02К0100000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25 686 666,63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18 338 599,98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обеспечение условий осуществления деятельности в сфере культуры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02К0140810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25 686 666,63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18 338 599,98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02К0140810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12 234 972,12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12 234 972,12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Расходы на выплаты персоналу казенных учреждений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02К0140810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12 234 972,12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12 234 972,12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02К0140810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12 572 384,51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5 224 317,86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02К0140810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12 572 384,51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5 224 317,86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бюджетные ассигнования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02К0140810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879 310,00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879 310,00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Уплата налогов, сборов и иных платежей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02К0140810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850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879 310,00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879 310,00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Комплекс процессных мероприятий «Сохранение, использование и популяризация объектов культурного наследия (памятников истории и культуры), находящихся в собственности Кондопожского городского поселения»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02К0200000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25 418,68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26 435,43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сохранение, использование и популяризацию объектов культурного наследия (памятников истории и культуры), находящихся в собственности Кондопожского городского поселения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02К0240820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25 418,68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26 435,43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02К0240820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25 418,68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26 435,43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02К0240820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25 418,68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26 435,43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СОЦИАЛЬНАЯ ПОЛИТИКА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1 180 244,64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1 180 244,64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Пенсионное обеспечение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1 180 244,64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1 180 244,64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1 180 244,64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1 180 244,64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Доплаты к трудовой пенсии лицам, замещавшим выборные должности органов местного самоуправления, а также замещавшим должности муниципальной службы муниципального образования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5500081000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1 180 244,64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1 180 244,64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Социальное обеспечение и иные выплаты населению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5500081000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300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1 180 244,64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1 180 244,64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Публичные нормативные социальные выплаты гражданам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5500081000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310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1 180 244,64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1 180 244,64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27 908 653,43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28 020 333,43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b/>
                <w:sz w:val="19"/>
                <w:szCs w:val="19"/>
              </w:rPr>
              <w:t>Массовый спорт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27 908 653,43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28 020 333,43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Муниципальная программа «Развитие физической культуры и массового спорта, формирование здорового образа жизни населения Кондопожского городского поселения»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0100000000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27 908 653,43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28 020 333,43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 xml:space="preserve">Комплекс процессных мероприятий «Создание 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 в 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17"/>
                <w:szCs w:val="17"/>
              </w:rPr>
              <w:t xml:space="preserve"> городском поселении»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01К0100000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27 908 653,43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28 020 333,43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обеспечение условий осуществления деятельности в сфере физической культуры и спорта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01К0141110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27 908 653,43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28 020 333,43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01К0141110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17 326 513,43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17 326 513,43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Расходы на выплаты персоналу казенных учреждений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01К0141110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17 326 513,43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17 326 513,43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01К0141110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10 013 696,00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10 125 376,00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01К0141110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10 013 696,00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10 125 376,00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Иные бюджетные ассигнования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01К0141110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800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568 444,00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568 444,00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EF5D0C" w:rsidRDefault="00902B0E">
            <w:r>
              <w:rPr>
                <w:rFonts w:ascii="Times New Roman" w:hAnsi="Times New Roman"/>
                <w:i/>
                <w:sz w:val="17"/>
                <w:szCs w:val="17"/>
              </w:rPr>
              <w:t>Уплата налогов, сборов и иных платежей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01К0141110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850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568 444,00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568 444,00</w:t>
            </w:r>
          </w:p>
        </w:tc>
      </w:tr>
      <w:tr w:rsidR="00EF5D0C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EF5D0C" w:rsidRDefault="00EF5D0C"/>
        </w:tc>
        <w:tc>
          <w:tcPr>
            <w:tcW w:w="48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ИТОГО: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Х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Х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Х</w:t>
            </w:r>
          </w:p>
        </w:tc>
        <w:tc>
          <w:tcPr>
            <w:tcW w:w="7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Х</w:t>
            </w:r>
          </w:p>
        </w:tc>
        <w:tc>
          <w:tcPr>
            <w:tcW w:w="1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189 329 924,95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F5D0C" w:rsidRDefault="00902B0E">
            <w:pPr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193 322 298,31</w:t>
            </w:r>
          </w:p>
        </w:tc>
      </w:tr>
    </w:tbl>
    <w:p w:rsidR="00A018BE" w:rsidRDefault="00A018BE"/>
    <w:sectPr w:rsidR="00A018BE">
      <w:headerReference w:type="default" r:id="rId7"/>
      <w:pgSz w:w="11907" w:h="16839"/>
      <w:pgMar w:top="567" w:right="567" w:bottom="567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C53" w:rsidRDefault="00091C53">
      <w:pPr>
        <w:spacing w:after="0" w:line="240" w:lineRule="auto"/>
      </w:pPr>
      <w:r>
        <w:separator/>
      </w:r>
    </w:p>
  </w:endnote>
  <w:endnote w:type="continuationSeparator" w:id="0">
    <w:p w:rsidR="00091C53" w:rsidRDefault="00091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C53" w:rsidRDefault="00091C53">
      <w:pPr>
        <w:spacing w:after="0" w:line="240" w:lineRule="auto"/>
      </w:pPr>
      <w:r>
        <w:separator/>
      </w:r>
    </w:p>
  </w:footnote>
  <w:footnote w:type="continuationSeparator" w:id="0">
    <w:p w:rsidR="00091C53" w:rsidRDefault="00091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039064"/>
      <w:docPartObj>
        <w:docPartGallery w:val="Page Numbers (Top of Page)"/>
      </w:docPartObj>
    </w:sdtPr>
    <w:sdtEndPr/>
    <w:sdtContent>
      <w:p w:rsidR="00EF5D0C" w:rsidRDefault="00902B0E">
        <w:r>
          <w:ptab w:relativeTo="margin" w:alignment="right" w:leader="none"/>
        </w:r>
        <w:r>
          <w:rPr>
            <w:rFonts w:ascii="Arial" w:hAnsi="Arial"/>
            <w:sz w:val="13"/>
          </w:rPr>
          <w:t xml:space="preserve">Распределение бюджетных ассигнований по классификации расходов бюджетов на 2026 год, Страница </w:t>
        </w:r>
        <w:r>
          <w:rPr>
            <w:rFonts w:ascii="Arial" w:hAnsi="Arial"/>
            <w:sz w:val="13"/>
          </w:rPr>
          <w:fldChar w:fldCharType="begin"/>
        </w:r>
        <w:r>
          <w:rPr>
            <w:rFonts w:ascii="Arial" w:hAnsi="Arial"/>
            <w:sz w:val="13"/>
          </w:rPr>
          <w:instrText>PAGE   \* MERGEFORMAT</w:instrText>
        </w:r>
        <w:r>
          <w:rPr>
            <w:rFonts w:ascii="Arial" w:hAnsi="Arial"/>
            <w:sz w:val="13"/>
          </w:rPr>
          <w:fldChar w:fldCharType="separate"/>
        </w:r>
        <w:r w:rsidR="00C50462">
          <w:rPr>
            <w:rFonts w:ascii="Arial" w:hAnsi="Arial"/>
            <w:noProof/>
            <w:sz w:val="13"/>
          </w:rPr>
          <w:t>4</w:t>
        </w:r>
        <w:r>
          <w:rPr>
            <w:rFonts w:ascii="Arial" w:hAnsi="Arial"/>
            <w:sz w:val="13"/>
          </w:rPr>
          <w:fldChar w:fldCharType="end"/>
        </w:r>
      </w:p>
    </w:sdtContent>
  </w:sdt>
  <w:p w:rsidR="00EF5D0C" w:rsidRDefault="00EF5D0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5D0C"/>
    <w:rsid w:val="0008458F"/>
    <w:rsid w:val="00091C53"/>
    <w:rsid w:val="00902B0E"/>
    <w:rsid w:val="00A018BE"/>
    <w:rsid w:val="00C50462"/>
    <w:rsid w:val="00EF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902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02B0E"/>
  </w:style>
  <w:style w:type="paragraph" w:styleId="a6">
    <w:name w:val="Balloon Text"/>
    <w:basedOn w:val="a"/>
    <w:link w:val="a7"/>
    <w:uiPriority w:val="99"/>
    <w:semiHidden/>
    <w:unhideWhenUsed/>
    <w:rsid w:val="00084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45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2454</Words>
  <Characters>13989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Шлямина</cp:lastModifiedBy>
  <cp:revision>5</cp:revision>
  <cp:lastPrinted>2025-12-12T08:40:00Z</cp:lastPrinted>
  <dcterms:created xsi:type="dcterms:W3CDTF">2025-12-11T07:03:00Z</dcterms:created>
  <dcterms:modified xsi:type="dcterms:W3CDTF">2025-12-12T12:03:00Z</dcterms:modified>
</cp:coreProperties>
</file>